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2B05" w14:textId="77777777" w:rsidR="00415C34" w:rsidRDefault="00F509F9">
      <w:pPr>
        <w:spacing w:after="47" w:line="217" w:lineRule="auto"/>
        <w:ind w:left="5401" w:right="4303" w:hanging="1036"/>
      </w:pPr>
      <w:r>
        <w:rPr>
          <w:noProof/>
        </w:rPr>
        <w:drawing>
          <wp:inline distT="0" distB="0" distL="0" distR="0" wp14:anchorId="2521F877" wp14:editId="2345A820">
            <wp:extent cx="1314450" cy="131445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8"/>
                    <a:stretch>
                      <a:fillRect/>
                    </a:stretch>
                  </pic:blipFill>
                  <pic:spPr>
                    <a:xfrm>
                      <a:off x="0" y="0"/>
                      <a:ext cx="1314450" cy="1314450"/>
                    </a:xfrm>
                    <a:prstGeom prst="rect">
                      <a:avLst/>
                    </a:prstGeom>
                  </pic:spPr>
                </pic:pic>
              </a:graphicData>
            </a:graphic>
          </wp:inline>
        </w:drawing>
      </w:r>
      <w:r>
        <w:t xml:space="preserve">  </w:t>
      </w:r>
    </w:p>
    <w:p w14:paraId="7E190DDE" w14:textId="50685B9E" w:rsidR="00415C34" w:rsidRDefault="00F509F9">
      <w:pPr>
        <w:spacing w:after="0" w:line="259" w:lineRule="auto"/>
        <w:ind w:left="2" w:firstLine="0"/>
        <w:jc w:val="center"/>
      </w:pPr>
      <w:r>
        <w:rPr>
          <w:b/>
        </w:rPr>
        <w:t>Pupil Premium Policy</w:t>
      </w:r>
    </w:p>
    <w:p w14:paraId="2236008D" w14:textId="77777777" w:rsidR="00415C34" w:rsidRDefault="00F509F9">
      <w:pPr>
        <w:spacing w:after="0" w:line="259" w:lineRule="auto"/>
        <w:ind w:left="0" w:firstLine="0"/>
      </w:pPr>
      <w:r>
        <w:t xml:space="preserve"> </w:t>
      </w:r>
    </w:p>
    <w:p w14:paraId="0CBFE14A" w14:textId="77777777" w:rsidR="00415C34" w:rsidRDefault="00F509F9">
      <w:pPr>
        <w:spacing w:after="0" w:line="259" w:lineRule="auto"/>
        <w:ind w:left="0" w:firstLine="0"/>
      </w:pPr>
      <w:r>
        <w:t xml:space="preserve"> </w:t>
      </w:r>
    </w:p>
    <w:p w14:paraId="383292F9" w14:textId="77777777" w:rsidR="00415C34" w:rsidRDefault="00F509F9">
      <w:r>
        <w:t xml:space="preserve">Pupil Premium is additional government funding for pupils who are either looked after </w:t>
      </w:r>
      <w:r>
        <w:t xml:space="preserve">children or perceived to come from disadvantaged backgrounds and therefore qualify for Free School Meals. This funding is then used to boost the learning of pupils so that the gap between learners is narrowed and all pupils are then able to reach their full potential. </w:t>
      </w:r>
      <w:r>
        <w:tab/>
        <w:t xml:space="preserve"> </w:t>
      </w:r>
      <w:r>
        <w:tab/>
        <w:t xml:space="preserve"> </w:t>
      </w:r>
    </w:p>
    <w:p w14:paraId="073D320D" w14:textId="77777777" w:rsidR="00415C34" w:rsidRDefault="00F509F9">
      <w:pPr>
        <w:spacing w:after="5" w:line="259" w:lineRule="auto"/>
        <w:ind w:left="0" w:firstLine="0"/>
      </w:pPr>
      <w:r>
        <w:t xml:space="preserve"> </w:t>
      </w:r>
      <w:r>
        <w:tab/>
        <w:t xml:space="preserve"> </w:t>
      </w:r>
    </w:p>
    <w:p w14:paraId="51B5DD29" w14:textId="77777777" w:rsidR="00415C34" w:rsidRDefault="00F509F9">
      <w:r>
        <w:t xml:space="preserve">Evidence shows that the most effective schools achieve best outcomes through high quality teaching, strong leadership, a relevant and coherent curriculum, a culture of high expectations and targeted catch-up and enrichment activities. Intrinsic support in the basics can enable children from disadvantaged backgrounds to catch up with their peers. Schools also influence how parents </w:t>
      </w:r>
      <w:r>
        <w:t xml:space="preserve">support their child’s learning and behaviour as they grow </w:t>
      </w:r>
      <w:proofErr w:type="gramStart"/>
      <w:r>
        <w:t>older</w:t>
      </w:r>
      <w:proofErr w:type="gramEnd"/>
      <w:r>
        <w:t xml:space="preserve"> and their</w:t>
      </w:r>
      <w:r>
        <w:t xml:space="preserve"> needs develop. They can also help parents understand the breadth of possibilities open to their child and how their child can achieve their aspirations.  </w:t>
      </w:r>
    </w:p>
    <w:p w14:paraId="48F24FD3" w14:textId="77777777" w:rsidR="00415C34" w:rsidRDefault="00F509F9">
      <w:pPr>
        <w:spacing w:after="0" w:line="259" w:lineRule="auto"/>
        <w:ind w:left="0" w:firstLine="0"/>
      </w:pPr>
      <w:r>
        <w:t xml:space="preserve"> </w:t>
      </w:r>
    </w:p>
    <w:p w14:paraId="12ED3B01" w14:textId="77777777" w:rsidR="00415C34" w:rsidRDefault="00F509F9">
      <w:r>
        <w:t xml:space="preserve">Pupils at Kestrel House School have an allocation of their core fee assigned to support their wellbeing, resulting in the school being able to respond to additional needs through our integrated Wellbeing Department on a more immediate basis.   </w:t>
      </w:r>
    </w:p>
    <w:p w14:paraId="31FD57AD" w14:textId="77777777" w:rsidR="00415C34" w:rsidRDefault="00F509F9">
      <w:pPr>
        <w:spacing w:after="0" w:line="259" w:lineRule="auto"/>
        <w:ind w:left="0" w:firstLine="0"/>
      </w:pPr>
      <w:r>
        <w:t xml:space="preserve"> </w:t>
      </w:r>
    </w:p>
    <w:p w14:paraId="5F19582B" w14:textId="77777777" w:rsidR="00415C34" w:rsidRDefault="00F509F9">
      <w:r>
        <w:t xml:space="preserve">Our local offer supports learners with the following: </w:t>
      </w:r>
    </w:p>
    <w:p w14:paraId="6A585F08" w14:textId="77777777" w:rsidR="00415C34" w:rsidRDefault="00F509F9">
      <w:pPr>
        <w:spacing w:after="34" w:line="259" w:lineRule="auto"/>
        <w:ind w:left="0" w:firstLine="0"/>
      </w:pPr>
      <w:r>
        <w:t xml:space="preserve"> </w:t>
      </w:r>
    </w:p>
    <w:p w14:paraId="5B42A7F2" w14:textId="77777777" w:rsidR="00415C34" w:rsidRDefault="00F509F9">
      <w:pPr>
        <w:numPr>
          <w:ilvl w:val="0"/>
          <w:numId w:val="1"/>
        </w:numPr>
        <w:ind w:hanging="360"/>
      </w:pPr>
      <w:r>
        <w:t xml:space="preserve">Psychological and Neurodevelopmental </w:t>
      </w:r>
      <w:proofErr w:type="gramStart"/>
      <w:r>
        <w:t>Assessments;</w:t>
      </w:r>
      <w:proofErr w:type="gramEnd"/>
      <w:r>
        <w:t xml:space="preserve"> </w:t>
      </w:r>
    </w:p>
    <w:p w14:paraId="2731DA4A" w14:textId="77777777" w:rsidR="00415C34" w:rsidRDefault="00F509F9">
      <w:pPr>
        <w:numPr>
          <w:ilvl w:val="0"/>
          <w:numId w:val="1"/>
        </w:numPr>
        <w:ind w:hanging="360"/>
      </w:pPr>
      <w:r>
        <w:t xml:space="preserve">Thrive and Music Therapy </w:t>
      </w:r>
    </w:p>
    <w:p w14:paraId="3E900786" w14:textId="77777777" w:rsidR="00415C34" w:rsidRDefault="00F509F9">
      <w:pPr>
        <w:numPr>
          <w:ilvl w:val="0"/>
          <w:numId w:val="1"/>
        </w:numPr>
        <w:ind w:hanging="360"/>
      </w:pPr>
      <w:r>
        <w:t xml:space="preserve">Speech, Language and Communication Assessment and additional resources. </w:t>
      </w:r>
    </w:p>
    <w:p w14:paraId="367D73D3" w14:textId="77777777" w:rsidR="00415C34" w:rsidRDefault="00F509F9">
      <w:pPr>
        <w:numPr>
          <w:ilvl w:val="0"/>
          <w:numId w:val="1"/>
        </w:numPr>
        <w:ind w:hanging="360"/>
      </w:pPr>
      <w:r>
        <w:t xml:space="preserve">Speech and Language </w:t>
      </w:r>
      <w:proofErr w:type="gramStart"/>
      <w:r>
        <w:t>Therapy;</w:t>
      </w:r>
      <w:proofErr w:type="gramEnd"/>
      <w:r>
        <w:t xml:space="preserve"> </w:t>
      </w:r>
    </w:p>
    <w:p w14:paraId="05D13ED2" w14:textId="77777777" w:rsidR="00415C34" w:rsidRDefault="00F509F9">
      <w:pPr>
        <w:numPr>
          <w:ilvl w:val="0"/>
          <w:numId w:val="1"/>
        </w:numPr>
        <w:ind w:hanging="360"/>
      </w:pPr>
      <w:r>
        <w:t xml:space="preserve">Occupational, Physical and Sensory Assessment and additional personalized resources. </w:t>
      </w:r>
    </w:p>
    <w:p w14:paraId="4763B79C" w14:textId="77777777" w:rsidR="00415C34" w:rsidRDefault="00F509F9">
      <w:pPr>
        <w:numPr>
          <w:ilvl w:val="0"/>
          <w:numId w:val="1"/>
        </w:numPr>
        <w:ind w:hanging="360"/>
      </w:pPr>
      <w:r>
        <w:t xml:space="preserve">Occupational and Sensory Integration </w:t>
      </w:r>
      <w:proofErr w:type="gramStart"/>
      <w:r>
        <w:t>Therapy;</w:t>
      </w:r>
      <w:proofErr w:type="gramEnd"/>
      <w:r>
        <w:t xml:space="preserve"> </w:t>
      </w:r>
    </w:p>
    <w:p w14:paraId="5787B3C9" w14:textId="77777777" w:rsidR="00415C34" w:rsidRDefault="00F509F9">
      <w:pPr>
        <w:numPr>
          <w:ilvl w:val="0"/>
          <w:numId w:val="1"/>
        </w:numPr>
        <w:ind w:hanging="360"/>
      </w:pPr>
      <w:r>
        <w:t xml:space="preserve">Access to additional resources to support their wellbeing need i.e. Augmentative &amp; Alternative Communication (high / low tech) and physical </w:t>
      </w:r>
      <w:proofErr w:type="gramStart"/>
      <w:r>
        <w:t>aids;</w:t>
      </w:r>
      <w:proofErr w:type="gramEnd"/>
      <w:r>
        <w:t xml:space="preserve"> </w:t>
      </w:r>
    </w:p>
    <w:p w14:paraId="0C09173D" w14:textId="77777777" w:rsidR="00415C34" w:rsidRDefault="00F509F9">
      <w:pPr>
        <w:numPr>
          <w:ilvl w:val="0"/>
          <w:numId w:val="1"/>
        </w:numPr>
        <w:ind w:hanging="360"/>
      </w:pPr>
      <w:r>
        <w:t xml:space="preserve">Enhanced Levels of Intervention </w:t>
      </w:r>
      <w:r>
        <w:t>–</w:t>
      </w:r>
      <w:r>
        <w:t xml:space="preserve"> </w:t>
      </w:r>
      <w:r>
        <w:t xml:space="preserve">additional support through a Wellbeing Support Worker / Coordinator and Family </w:t>
      </w:r>
      <w:proofErr w:type="gramStart"/>
      <w:r>
        <w:t>Liaison;</w:t>
      </w:r>
      <w:proofErr w:type="gramEnd"/>
      <w:r>
        <w:t xml:space="preserve"> </w:t>
      </w:r>
    </w:p>
    <w:p w14:paraId="53CD443E" w14:textId="77777777" w:rsidR="00415C34" w:rsidRDefault="00F509F9">
      <w:pPr>
        <w:numPr>
          <w:ilvl w:val="0"/>
          <w:numId w:val="1"/>
        </w:numPr>
        <w:ind w:hanging="360"/>
      </w:pPr>
      <w:r>
        <w:t xml:space="preserve">Universal Levels of Intervention </w:t>
      </w:r>
      <w:r>
        <w:t>–</w:t>
      </w:r>
      <w:r>
        <w:t xml:space="preserve"> supportive training events and models in relation to </w:t>
      </w:r>
      <w:proofErr w:type="gramStart"/>
      <w:r>
        <w:t>pupils</w:t>
      </w:r>
      <w:proofErr w:type="gramEnd"/>
      <w:r>
        <w:t xml:space="preserve"> additional needs.   </w:t>
      </w:r>
    </w:p>
    <w:p w14:paraId="04BFEA80" w14:textId="77777777" w:rsidR="00415C34" w:rsidRDefault="00F509F9">
      <w:pPr>
        <w:numPr>
          <w:ilvl w:val="0"/>
          <w:numId w:val="1"/>
        </w:numPr>
        <w:ind w:hanging="360"/>
      </w:pPr>
      <w:r>
        <w:t xml:space="preserve">Funding for Easter Camp, trips and visits including residential trips. </w:t>
      </w:r>
    </w:p>
    <w:p w14:paraId="5193DA29" w14:textId="77777777" w:rsidR="00415C34" w:rsidRDefault="00F509F9">
      <w:pPr>
        <w:spacing w:after="0" w:line="259" w:lineRule="auto"/>
        <w:ind w:left="0" w:firstLine="0"/>
      </w:pPr>
      <w:r>
        <w:t xml:space="preserve"> </w:t>
      </w:r>
    </w:p>
    <w:tbl>
      <w:tblPr>
        <w:tblStyle w:val="TableGrid"/>
        <w:tblW w:w="10792" w:type="dxa"/>
        <w:tblInd w:w="5" w:type="dxa"/>
        <w:tblCellMar>
          <w:top w:w="62" w:type="dxa"/>
          <w:left w:w="108" w:type="dxa"/>
          <w:bottom w:w="0" w:type="dxa"/>
          <w:right w:w="115" w:type="dxa"/>
        </w:tblCellMar>
        <w:tblLook w:val="04A0" w:firstRow="1" w:lastRow="0" w:firstColumn="1" w:lastColumn="0" w:noHBand="0" w:noVBand="1"/>
      </w:tblPr>
      <w:tblGrid>
        <w:gridCol w:w="5396"/>
        <w:gridCol w:w="5396"/>
      </w:tblGrid>
      <w:tr w:rsidR="00415C34" w14:paraId="672CF4EB" w14:textId="77777777">
        <w:trPr>
          <w:trHeight w:val="280"/>
        </w:trPr>
        <w:tc>
          <w:tcPr>
            <w:tcW w:w="5396" w:type="dxa"/>
            <w:tcBorders>
              <w:top w:val="single" w:sz="4" w:space="0" w:color="000000"/>
              <w:left w:val="single" w:sz="4" w:space="0" w:color="000000"/>
              <w:bottom w:val="single" w:sz="4" w:space="0" w:color="000000"/>
              <w:right w:val="single" w:sz="4" w:space="0" w:color="000000"/>
            </w:tcBorders>
          </w:tcPr>
          <w:p w14:paraId="3025306F" w14:textId="77777777" w:rsidR="00415C34" w:rsidRDefault="00F509F9">
            <w:pPr>
              <w:spacing w:after="0" w:line="259" w:lineRule="auto"/>
              <w:ind w:left="0" w:firstLine="0"/>
            </w:pPr>
            <w:r>
              <w:t xml:space="preserve">Policy Reviewed </w:t>
            </w:r>
          </w:p>
        </w:tc>
        <w:tc>
          <w:tcPr>
            <w:tcW w:w="5396" w:type="dxa"/>
            <w:tcBorders>
              <w:top w:val="single" w:sz="4" w:space="0" w:color="000000"/>
              <w:left w:val="single" w:sz="4" w:space="0" w:color="000000"/>
              <w:bottom w:val="single" w:sz="4" w:space="0" w:color="000000"/>
              <w:right w:val="single" w:sz="4" w:space="0" w:color="000000"/>
            </w:tcBorders>
          </w:tcPr>
          <w:p w14:paraId="1DBFEE7D" w14:textId="0FE12A18" w:rsidR="00415C34" w:rsidRDefault="00F509F9">
            <w:pPr>
              <w:spacing w:after="0" w:line="259" w:lineRule="auto"/>
              <w:ind w:left="0" w:firstLine="0"/>
            </w:pPr>
            <w:r>
              <w:t>May 2025</w:t>
            </w:r>
            <w:r>
              <w:t xml:space="preserve"> </w:t>
            </w:r>
          </w:p>
        </w:tc>
      </w:tr>
      <w:tr w:rsidR="00415C34" w14:paraId="79C3176C" w14:textId="77777777">
        <w:trPr>
          <w:trHeight w:val="281"/>
        </w:trPr>
        <w:tc>
          <w:tcPr>
            <w:tcW w:w="5396" w:type="dxa"/>
            <w:tcBorders>
              <w:top w:val="single" w:sz="4" w:space="0" w:color="000000"/>
              <w:left w:val="single" w:sz="4" w:space="0" w:color="000000"/>
              <w:bottom w:val="single" w:sz="4" w:space="0" w:color="000000"/>
              <w:right w:val="single" w:sz="4" w:space="0" w:color="000000"/>
            </w:tcBorders>
          </w:tcPr>
          <w:p w14:paraId="42BCCE76" w14:textId="77777777" w:rsidR="00415C34" w:rsidRDefault="00F509F9">
            <w:pPr>
              <w:spacing w:after="0" w:line="259" w:lineRule="auto"/>
              <w:ind w:left="0" w:firstLine="0"/>
            </w:pPr>
            <w:r>
              <w:t xml:space="preserve">Next Review </w:t>
            </w:r>
          </w:p>
        </w:tc>
        <w:tc>
          <w:tcPr>
            <w:tcW w:w="5396" w:type="dxa"/>
            <w:tcBorders>
              <w:top w:val="single" w:sz="4" w:space="0" w:color="000000"/>
              <w:left w:val="single" w:sz="4" w:space="0" w:color="000000"/>
              <w:bottom w:val="single" w:sz="4" w:space="0" w:color="000000"/>
              <w:right w:val="single" w:sz="4" w:space="0" w:color="000000"/>
            </w:tcBorders>
          </w:tcPr>
          <w:p w14:paraId="60495EB4" w14:textId="24302A21" w:rsidR="00415C34" w:rsidRDefault="00F509F9">
            <w:pPr>
              <w:spacing w:after="0" w:line="259" w:lineRule="auto"/>
              <w:ind w:left="0" w:firstLine="0"/>
            </w:pPr>
            <w:r>
              <w:t>April 2026</w:t>
            </w:r>
          </w:p>
        </w:tc>
      </w:tr>
    </w:tbl>
    <w:p w14:paraId="4C6689FD" w14:textId="77777777" w:rsidR="00415C34" w:rsidRDefault="00F509F9">
      <w:pPr>
        <w:spacing w:after="0" w:line="259" w:lineRule="auto"/>
        <w:ind w:left="0" w:firstLine="0"/>
      </w:pPr>
      <w:r>
        <w:lastRenderedPageBreak/>
        <w:t xml:space="preserve"> </w:t>
      </w:r>
    </w:p>
    <w:p w14:paraId="14C87D37" w14:textId="77777777" w:rsidR="00415C34" w:rsidRDefault="00F509F9">
      <w:pPr>
        <w:spacing w:after="15" w:line="259" w:lineRule="auto"/>
        <w:ind w:left="0" w:firstLine="0"/>
      </w:pPr>
      <w:r>
        <w:t xml:space="preserve"> </w:t>
      </w:r>
    </w:p>
    <w:p w14:paraId="6A785356" w14:textId="77777777" w:rsidR="00415C34" w:rsidRDefault="00F509F9">
      <w:pPr>
        <w:spacing w:after="0" w:line="259" w:lineRule="auto"/>
        <w:ind w:left="0" w:firstLine="0"/>
      </w:pPr>
      <w:r>
        <w:t xml:space="preserve"> </w:t>
      </w:r>
      <w:r>
        <w:tab/>
        <w:t xml:space="preserve"> </w:t>
      </w:r>
    </w:p>
    <w:sectPr w:rsidR="00415C34">
      <w:pgSz w:w="12240" w:h="15840"/>
      <w:pgMar w:top="720" w:right="72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F15EE"/>
    <w:multiLevelType w:val="hybridMultilevel"/>
    <w:tmpl w:val="E1760BA6"/>
    <w:lvl w:ilvl="0" w:tplc="51605A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A51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B0CF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9E97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54A1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7C69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94D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2C5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2A49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9430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34"/>
    <w:rsid w:val="00415C34"/>
    <w:rsid w:val="00C57410"/>
    <w:rsid w:val="00F50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CB36"/>
  <w15:docId w15:val="{B439DEED-B35C-478E-933F-FF60057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61" w:lineRule="auto"/>
      <w:ind w:left="10" w:hanging="10"/>
    </w:pPr>
    <w:rPr>
      <w:rFonts w:ascii="Century Gothic" w:eastAsia="Century Gothic" w:hAnsi="Century Gothic" w:cs="Century Gothic"/>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6CC4E0-A030-4224-A4C1-502C04C08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D9DD8-B533-4317-94A3-4294279BE989}">
  <ds:schemaRefs>
    <ds:schemaRef ds:uri="http://schemas.microsoft.com/sharepoint/v3/contenttype/forms"/>
  </ds:schemaRefs>
</ds:datastoreItem>
</file>

<file path=customXml/itemProps3.xml><?xml version="1.0" encoding="utf-8"?>
<ds:datastoreItem xmlns:ds="http://schemas.openxmlformats.org/officeDocument/2006/customXml" ds:itemID="{D8EABBCF-AD58-417C-A87C-FD56F7E10FD2}">
  <ds:schemaRefs>
    <ds:schemaRef ds:uri="http://schemas.microsoft.com/office/2006/metadata/properties"/>
    <ds:schemaRef ds:uri="http://schemas.microsoft.com/office/2006/documentManagement/types"/>
    <ds:schemaRef ds:uri="http://purl.org/dc/terms/"/>
    <ds:schemaRef ds:uri="http://purl.org/dc/dcmitype/"/>
    <ds:schemaRef ds:uri="33e236c1-855a-4edc-ad50-56eb690577e1"/>
    <ds:schemaRef ds:uri="http://purl.org/dc/elements/1.1/"/>
    <ds:schemaRef ds:uri="http://schemas.microsoft.com/office/infopath/2007/PartnerControls"/>
    <ds:schemaRef ds:uri="http://schemas.openxmlformats.org/package/2006/metadata/core-properties"/>
    <ds:schemaRef ds:uri="fb68c087-4dd4-4a81-bb1e-20c195663c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Company>Acorn</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Rennells</dc:creator>
  <cp:keywords/>
  <cp:lastModifiedBy>Marc Cox</cp:lastModifiedBy>
  <cp:revision>2</cp:revision>
  <dcterms:created xsi:type="dcterms:W3CDTF">2025-05-13T15:52:00Z</dcterms:created>
  <dcterms:modified xsi:type="dcterms:W3CDTF">2025-05-13T15:52:00Z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